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4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583314" w:rsidRPr="00583314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40"/>
        </w:rPr>
      </w:pPr>
      <w:r w:rsidRPr="00583314">
        <w:rPr>
          <w:rFonts w:cstheme="minorHAnsi"/>
          <w:b/>
          <w:sz w:val="40"/>
          <w:szCs w:val="40"/>
        </w:rPr>
        <w:t>OŠ PETRA KREŠIMIRA IV., ŠIBENIK</w:t>
      </w:r>
    </w:p>
    <w:p w:rsidR="00583314" w:rsidRPr="00583314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40"/>
        </w:rPr>
      </w:pPr>
    </w:p>
    <w:p w:rsidR="00583314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583314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583314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Učitelji: Branka Baljkas, Dijana Dunkić Matić, Ana Grubišić Konsa, Marjan Krnčević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583314">
      <w:pPr>
        <w:spacing w:after="0" w:line="240" w:lineRule="auto"/>
        <w:rPr>
          <w:rFonts w:cstheme="minorHAnsi"/>
          <w:b/>
          <w:sz w:val="32"/>
        </w:rPr>
      </w:pPr>
    </w:p>
    <w:p w:rsidR="00583314" w:rsidRDefault="00583314" w:rsidP="00583314">
      <w:pPr>
        <w:spacing w:after="0" w:line="240" w:lineRule="auto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FD27A1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E7052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FD27A1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1" w:rsidRPr="004967B7" w:rsidRDefault="007A4C51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7A4C51" w:rsidRPr="004967B7" w:rsidRDefault="007A4C51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4229D9" w:rsidRDefault="004229D9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p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 xml:space="preserve">Tekst u kurzivu u cijelosti </w:t>
      </w:r>
      <w:r w:rsidR="004229D9" w:rsidRPr="00A721FF">
        <w:rPr>
          <w:rStyle w:val="eop"/>
          <w:rFonts w:asciiTheme="minorHAnsi" w:hAnsiTheme="minorHAnsi" w:cstheme="minorHAnsi"/>
          <w:b/>
          <w:sz w:val="28"/>
        </w:rPr>
        <w:t xml:space="preserve">je </w:t>
      </w:r>
      <w:r w:rsidRPr="00A721FF">
        <w:rPr>
          <w:rStyle w:val="eop"/>
          <w:rFonts w:asciiTheme="minorHAnsi" w:hAnsiTheme="minorHAnsi" w:cstheme="minorHAnsi"/>
          <w:b/>
          <w:sz w:val="28"/>
        </w:rPr>
        <w:t>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; sluša i 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Promatrajući primjere samostalno donosi pravopisna pravila za pisanje velikog početnog slova (prva riječ u rečenici, vlastita imena i prezimena ljudi i imena naselja ili 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nepoznate riječi u dječjem rječniku uz pomoć i predložak  djelomično poznavajući 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lakše i kraće  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 te povezuje novo sa već naučenim u smislenu cjelinu.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6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D74C65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4229D9" w:rsidRDefault="004229D9" w:rsidP="007329B7">
      <w:pPr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BD1B99" w:rsidRDefault="007329B7" w:rsidP="00216718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216718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21671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21671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216718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21671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21671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4229D9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4229D9" w:rsidRDefault="004229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ređenja prostora u domu i školi, ali brigu 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Opisuje opasnosti koje se mogu javiti pri 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 te opisuje i objašnjava opasnosti koje se mogu javiti pri uporabi uređaja i kako reagirati pri pojavi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216718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14" w:rsidRDefault="00594114" w:rsidP="00394D17">
      <w:pPr>
        <w:spacing w:after="0" w:line="240" w:lineRule="auto"/>
      </w:pPr>
      <w:r>
        <w:separator/>
      </w:r>
    </w:p>
  </w:endnote>
  <w:endnote w:type="continuationSeparator" w:id="0">
    <w:p w:rsidR="00594114" w:rsidRDefault="00594114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14" w:rsidRDefault="00594114" w:rsidP="00394D17">
      <w:pPr>
        <w:spacing w:after="0" w:line="240" w:lineRule="auto"/>
      </w:pPr>
      <w:r>
        <w:separator/>
      </w:r>
    </w:p>
  </w:footnote>
  <w:footnote w:type="continuationSeparator" w:id="0">
    <w:p w:rsidR="00594114" w:rsidRDefault="00594114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83314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94CB5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  <w15:docId w15:val="{2291CF22-A754-44ED-A1E9-6717DBD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48CA-F54F-48E2-B91B-0BA1FB8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19385</Words>
  <Characters>110495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Windows korisnik</cp:lastModifiedBy>
  <cp:revision>2</cp:revision>
  <cp:lastPrinted>2019-08-28T17:14:00Z</cp:lastPrinted>
  <dcterms:created xsi:type="dcterms:W3CDTF">2019-09-26T05:47:00Z</dcterms:created>
  <dcterms:modified xsi:type="dcterms:W3CDTF">2019-09-26T05:47:00Z</dcterms:modified>
</cp:coreProperties>
</file>